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99AE" w14:textId="01D4B303" w:rsidR="00AF6996" w:rsidRPr="00AF6996" w:rsidRDefault="00AF6996" w:rsidP="00AF6996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proofErr w:type="spellStart"/>
      <w:r w:rsidRPr="00AF6996">
        <w:rPr>
          <w:b/>
        </w:rPr>
        <w:t>Cre</w:t>
      </w:r>
      <w:proofErr w:type="spellEnd"/>
      <w:r w:rsidRPr="00AF6996">
        <w:rPr>
          <w:b/>
        </w:rPr>
        <w:t>-Lox. 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 xml:space="preserve">B. M. Koo </w:t>
      </w:r>
      <w:r w:rsidRPr="005534CB">
        <w:rPr>
          <w:rFonts w:cs="Times New Roman"/>
          <w:i/>
          <w:iCs/>
          <w:noProof/>
        </w:rPr>
        <w:t>et al.</w:t>
      </w:r>
      <w:r w:rsidRPr="005534CB">
        <w:rPr>
          <w:rFonts w:cs="Times New Roman"/>
          <w:noProof/>
        </w:rPr>
        <w:t xml:space="preserve">, “Construction and Analysis of Two Genome-Scale Deletion Libraries for Bacillus subtilis,” </w:t>
      </w:r>
      <w:r w:rsidRPr="005534CB">
        <w:rPr>
          <w:rFonts w:cs="Times New Roman"/>
          <w:i/>
          <w:iCs/>
          <w:noProof/>
        </w:rPr>
        <w:t>Cell Syst.</w:t>
      </w:r>
      <w:r w:rsidRPr="005534CB">
        <w:rPr>
          <w:rFonts w:cs="Times New Roman"/>
          <w:noProof/>
        </w:rPr>
        <w:t>, vol. 22, pp. 291–305, 2017, doi: 10.1016/j.cels.2016.12.013.</w:t>
      </w:r>
    </w:p>
    <w:p w14:paraId="060A7DB5" w14:textId="77777777" w:rsidR="00AF6996" w:rsidRDefault="00AF6996" w:rsidP="00AF6996">
      <w:r>
        <w:t>Day 1:</w:t>
      </w:r>
    </w:p>
    <w:p w14:paraId="5B8545E5" w14:textId="77777777" w:rsidR="00AF6996" w:rsidRDefault="00AF6996" w:rsidP="00AF6996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Start an overnight culture 37°C in minimal medium (MM: 10ml SMM basic salts, 125μl 40% (w/v) glucose, 100μl 2% (w/v) tryptophan, 60μl 1M Mg2SO4*7H2O, 10μl 20% (w/v) casamino acids, 5μl 2.2mg/ml ferric ammonium citrate).</w:t>
      </w:r>
    </w:p>
    <w:p w14:paraId="22D7446D" w14:textId="77777777" w:rsidR="00AF6996" w:rsidRDefault="00AF6996" w:rsidP="00AF6996">
      <w:r>
        <w:t>Day 2:</w:t>
      </w:r>
    </w:p>
    <w:p w14:paraId="3768C218" w14:textId="77777777" w:rsidR="00AF6996" w:rsidRDefault="00AF6996" w:rsidP="00AF6996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Dilute cells 1:10 in MM and grown for 3h at 37°C. Meanwhile, starvation medium (SM: 10ml SMM basic salts, 125μl 40% (w/v) glucose, 60μl 1M Mg2SO4*7H2O) is prepared and prewarmed at 37°C.</w:t>
      </w:r>
    </w:p>
    <w:p w14:paraId="48EAEAE9" w14:textId="77777777" w:rsidR="00AF6996" w:rsidRDefault="00AF6996" w:rsidP="00AF6996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Dilute in 1:2 SM and make competent cells with a further 2h incubation period at 37°C.</w:t>
      </w:r>
    </w:p>
    <w:p w14:paraId="7742BE77" w14:textId="77777777" w:rsidR="00AF6996" w:rsidRDefault="00AF6996" w:rsidP="00AF6996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400μl cell aliquots are mixed with 1μg recombinant DNA PCR (coming from the amplification of </w:t>
      </w:r>
      <w:proofErr w:type="spellStart"/>
      <w:r>
        <w:t>pBS</w:t>
      </w:r>
      <w:proofErr w:type="spellEnd"/>
      <w:r>
        <w:t>-</w:t>
      </w:r>
      <w:proofErr w:type="spellStart"/>
      <w:r>
        <w:t>CreLox</w:t>
      </w:r>
      <w:proofErr w:type="spellEnd"/>
      <w:r>
        <w:t xml:space="preserve">-BC). Incubate 1 h at 37°C. </w:t>
      </w:r>
    </w:p>
    <w:p w14:paraId="5691C28E" w14:textId="77777777" w:rsidR="00AF6996" w:rsidRDefault="00AF6996" w:rsidP="00AF6996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Cells are spun down, concentrated and plated on NA/Zeocin (20 </w:t>
      </w:r>
      <w:proofErr w:type="spellStart"/>
      <w:r>
        <w:t>μg</w:t>
      </w:r>
      <w:proofErr w:type="spellEnd"/>
      <w:r>
        <w:t>/mL) and incubated at 37°C.</w:t>
      </w:r>
    </w:p>
    <w:p w14:paraId="30E1AE02" w14:textId="77777777" w:rsidR="00AF6996" w:rsidRDefault="00AF6996" w:rsidP="00AF6996">
      <w:r>
        <w:t>Day 3:</w:t>
      </w:r>
    </w:p>
    <w:p w14:paraId="5CDD5632" w14:textId="77777777" w:rsidR="00AF6996" w:rsidRDefault="00AF6996" w:rsidP="00AF6996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Colonies are tested for the integration of the recombinant DNA by PCR and sequencing.</w:t>
      </w:r>
    </w:p>
    <w:p w14:paraId="3240A357" w14:textId="77777777" w:rsidR="00AF6996" w:rsidRDefault="00AF6996" w:rsidP="00AF6996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A positive clone is grown overnight at 37°C in MM. </w:t>
      </w:r>
    </w:p>
    <w:p w14:paraId="74C71F03" w14:textId="77777777" w:rsidR="00AF6996" w:rsidRDefault="00AF6996" w:rsidP="00AF6996">
      <w:r>
        <w:t>Day 5:</w:t>
      </w:r>
    </w:p>
    <w:p w14:paraId="15FDB133" w14:textId="77777777" w:rsidR="00AF6996" w:rsidRDefault="00AF6996" w:rsidP="00AF6996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Dilute cells 1:10 in MM and grown for 3h at 37°C. Meanwhile, starvation medium (SM: 10ml SMM basic salts, 125μl 40% (w/v) glucose, 60μl 1M Mg2SO4*7H2O) is prepared and prewarmed at 37°C.</w:t>
      </w:r>
    </w:p>
    <w:p w14:paraId="4083B5CA" w14:textId="77777777" w:rsidR="00AF6996" w:rsidRDefault="00AF6996" w:rsidP="00AF6996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The culture is diluted 1:2 in SMM and cells are made competent with a further 3h incubation period at 37°C.</w:t>
      </w:r>
    </w:p>
    <w:p w14:paraId="17E1CC12" w14:textId="77777777" w:rsidR="00AF6996" w:rsidRDefault="00AF6996" w:rsidP="00AF6996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400ul cell aliquots are mixed with 100 ng pDR244.</w:t>
      </w:r>
    </w:p>
    <w:p w14:paraId="4C5E7F2B" w14:textId="77777777" w:rsidR="00AF6996" w:rsidRDefault="00AF6996" w:rsidP="00AF6996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Cells are spun down, concentrated and plated on LB supplemented with spectinomycin (100 </w:t>
      </w:r>
      <w:proofErr w:type="spellStart"/>
      <w:r>
        <w:t>μg</w:t>
      </w:r>
      <w:proofErr w:type="spellEnd"/>
      <w:r>
        <w:t>/mL) and incubated at 30°C.</w:t>
      </w:r>
    </w:p>
    <w:p w14:paraId="60416A0A" w14:textId="77777777" w:rsidR="00AF6996" w:rsidRDefault="00AF6996" w:rsidP="00AF6996"/>
    <w:p w14:paraId="488DDE2B" w14:textId="77777777" w:rsidR="00AF6996" w:rsidRDefault="00AF6996" w:rsidP="00AF6996">
      <w:r>
        <w:t>Day 6:</w:t>
      </w:r>
    </w:p>
    <w:p w14:paraId="0590FDFA" w14:textId="77777777" w:rsidR="00AF6996" w:rsidRDefault="00AF6996" w:rsidP="00AF6996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lastRenderedPageBreak/>
        <w:t>Selection cassette removal is checked by colony PCR.</w:t>
      </w:r>
    </w:p>
    <w:p w14:paraId="266C17F2" w14:textId="77777777" w:rsidR="00AF6996" w:rsidRDefault="00AF6996" w:rsidP="00AF6996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>Positive clones are plated on NA/Zeocin (to check ABR loss) and on LB at 37°C to cure pDR244.</w:t>
      </w:r>
    </w:p>
    <w:p w14:paraId="1BDF5444" w14:textId="77777777" w:rsidR="00AF6996" w:rsidRDefault="00AF6996" w:rsidP="00AF6996"/>
    <w:p w14:paraId="61B074C4" w14:textId="77777777" w:rsidR="00AF6996" w:rsidRDefault="00AF6996" w:rsidP="00AF6996">
      <w:r>
        <w:t>Day 7:</w:t>
      </w:r>
    </w:p>
    <w:p w14:paraId="497C68A8" w14:textId="77777777" w:rsidR="00AF6996" w:rsidRDefault="00AF6996" w:rsidP="00AF6996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pDR244 curation is checked by plating cells on LB/Spec. </w:t>
      </w:r>
    </w:p>
    <w:p w14:paraId="73EB218D" w14:textId="77777777" w:rsidR="00A74669" w:rsidRDefault="00A74669"/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9FE"/>
    <w:multiLevelType w:val="hybridMultilevel"/>
    <w:tmpl w:val="D1506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98D"/>
    <w:multiLevelType w:val="hybridMultilevel"/>
    <w:tmpl w:val="45D0C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179D"/>
    <w:multiLevelType w:val="hybridMultilevel"/>
    <w:tmpl w:val="ED7A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C37"/>
    <w:multiLevelType w:val="hybridMultilevel"/>
    <w:tmpl w:val="52BA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5EE"/>
    <w:multiLevelType w:val="hybridMultilevel"/>
    <w:tmpl w:val="ED7A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9E52345"/>
    <w:multiLevelType w:val="hybridMultilevel"/>
    <w:tmpl w:val="44364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6"/>
    <w:rsid w:val="00314BC5"/>
    <w:rsid w:val="00582691"/>
    <w:rsid w:val="006E56D4"/>
    <w:rsid w:val="008077F8"/>
    <w:rsid w:val="00A74669"/>
    <w:rsid w:val="00AF6996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058FC"/>
  <w15:chartTrackingRefBased/>
  <w15:docId w15:val="{F88AF827-9384-FC43-9FA9-5A9EB6A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96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996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996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996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996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996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996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996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996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F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2020-07-13T11:05:00Z</dcterms:created>
  <dcterms:modified xsi:type="dcterms:W3CDTF">2020-07-13T11:05:00Z</dcterms:modified>
</cp:coreProperties>
</file>